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30C" w:rsidRPr="00F34402" w:rsidRDefault="00D13938" w:rsidP="0029330C">
      <w:pPr>
        <w:rPr>
          <w:b/>
          <w:szCs w:val="22"/>
        </w:rPr>
      </w:pPr>
      <w:bookmarkStart w:id="0" w:name="_GoBack"/>
      <w:bookmarkEnd w:id="0"/>
      <w:r>
        <w:rPr>
          <w:b/>
          <w:szCs w:val="22"/>
        </w:rPr>
        <w:t xml:space="preserve">Приложение 2. </w:t>
      </w:r>
      <w:r w:rsidR="0029330C" w:rsidRPr="00F34402">
        <w:rPr>
          <w:b/>
          <w:szCs w:val="22"/>
        </w:rPr>
        <w:t>А</w:t>
      </w:r>
      <w:r>
        <w:rPr>
          <w:b/>
          <w:szCs w:val="22"/>
        </w:rPr>
        <w:t>нкета</w:t>
      </w:r>
      <w:r w:rsidR="004A7DDB">
        <w:rPr>
          <w:szCs w:val="22"/>
        </w:rPr>
        <w:t xml:space="preserve"> </w:t>
      </w:r>
      <w:r>
        <w:rPr>
          <w:szCs w:val="22"/>
        </w:rPr>
        <w:t>«</w:t>
      </w:r>
      <w:r w:rsidR="0029330C" w:rsidRPr="00F34402">
        <w:rPr>
          <w:b/>
          <w:szCs w:val="22"/>
        </w:rPr>
        <w:t xml:space="preserve">Структура управления основными процессами в области реализации экономической и имущественной политики субъекта </w:t>
      </w:r>
      <w:r w:rsidR="00263297">
        <w:rPr>
          <w:b/>
          <w:szCs w:val="22"/>
        </w:rPr>
        <w:t>РФ</w:t>
      </w:r>
      <w:r>
        <w:rPr>
          <w:b/>
          <w:szCs w:val="22"/>
        </w:rPr>
        <w:t>»</w:t>
      </w:r>
    </w:p>
    <w:p w:rsidR="0029330C" w:rsidRPr="00F34402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F34402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F34402">
        <w:rPr>
          <w:rFonts w:ascii="Times" w:hAnsi="Times" w:cstheme="minorHAnsi"/>
          <w:b/>
          <w:szCs w:val="22"/>
        </w:rPr>
        <w:t>Ценовое (тарифное) регулирование</w:t>
      </w:r>
    </w:p>
    <w:p w:rsidR="0029330C" w:rsidRPr="00F34402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F34402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Уполномоченный орган/органы государственной власти субъекта федерации, ответственные за ценовое (тарифное) регулирование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 xml:space="preserve">Уполномоченный орган/органы государственной власти субъекта федерации, ответственные за координацию действий ОИВ субъекта федерации в области ценового (тарифного) регулирования 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Какие органы государственной власти субъекта федерации участвуют в разработке и реализации политики в области ценового (тарифного) регулирования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Как осуществляется информационный обмен между органами государственной власти, участвующими в разработке и реализации политики в области ценового (тарифного) регулирования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Уполномоченный орган государственной власти и уполномоченное подразделение в структуре данного органа, ответственные за проведение мониторинга результатов реализации политики в области ценового (тарифного) регулирования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29330C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Публикуются ли результаты мониторинга результатов реализации политики в области ценового (тарифного) регулирования (если публикуются, укажите где)?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</w:tbl>
    <w:p w:rsidR="0029330C" w:rsidRPr="00F34402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F34402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F34402">
        <w:rPr>
          <w:rFonts w:ascii="Times" w:hAnsi="Times" w:cstheme="minorHAnsi"/>
          <w:szCs w:val="22"/>
        </w:rPr>
        <w:t>Эффективность структуры управления процессом ценового (тарифного) регулирования. Оцените существующую структуру и практику управления процессом ценового (тарифного) регулирования по 10-балльной шкале (1 – проблема не актуальна, 10 – проблема чрезвычайно актуальна)</w:t>
      </w:r>
      <w:r w:rsidRPr="00F34402">
        <w:rPr>
          <w:rStyle w:val="a6"/>
          <w:rFonts w:ascii="Times" w:hAnsi="Times" w:cstheme="minorHAnsi"/>
          <w:szCs w:val="22"/>
        </w:rPr>
        <w:t xml:space="preserve"> </w:t>
      </w:r>
      <w:r w:rsidRPr="00F34402">
        <w:rPr>
          <w:rStyle w:val="af3"/>
          <w:rFonts w:ascii="Times" w:hAnsi="Times" w:cstheme="minorHAnsi"/>
          <w:szCs w:val="22"/>
        </w:rPr>
        <w:footnoteReference w:id="1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 xml:space="preserve">Недостаточно четко регламентированная процедура взаимодействия между </w:t>
            </w:r>
            <w:r w:rsidRPr="00F34402">
              <w:lastRenderedPageBreak/>
              <w:t>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29330C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</w:tbl>
    <w:p w:rsidR="0029330C" w:rsidRPr="00F34402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F34402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F34402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F34402">
        <w:rPr>
          <w:rFonts w:ascii="Times" w:hAnsi="Times" w:cstheme="minorHAnsi"/>
          <w:b/>
          <w:szCs w:val="22"/>
        </w:rPr>
        <w:t>Подготовка проектов региональных целевых программ</w:t>
      </w:r>
    </w:p>
    <w:p w:rsidR="0029330C" w:rsidRPr="00F34402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F34402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F34402" w:rsidRPr="00F34402" w:rsidTr="0029330C">
        <w:tc>
          <w:tcPr>
            <w:tcW w:w="5068" w:type="dxa"/>
          </w:tcPr>
          <w:p w:rsidR="0029330C" w:rsidRPr="00F34402" w:rsidRDefault="0029330C" w:rsidP="0029330C">
            <w:r w:rsidRPr="00F34402">
              <w:t>Уполномоченный орган/органы государственной власти субъекта федерации, ответственные за результаты подготовки проектов региональных целевых программ</w:t>
            </w:r>
          </w:p>
        </w:tc>
        <w:tc>
          <w:tcPr>
            <w:tcW w:w="5069" w:type="dxa"/>
          </w:tcPr>
          <w:p w:rsidR="0029330C" w:rsidRPr="00F34402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координацию действий ОИВ субъекта федерации в области подготовки проектов региональных целевых программ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Какие органы государственной власти субъекта федерации участвуют в подготовки проектов региональных целевых программ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Как осуществляется информационный обмен между органами государственной власти, участвующими в подготовки проектов региональных целевых программ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подготовки проектов региональных целевых программ. Оцените существующую структуру и практику управления процессом подготовки проектов региональных целевых программ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2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</w:t>
            </w:r>
            <w:r w:rsidRPr="0029330C">
              <w:lastRenderedPageBreak/>
              <w:t xml:space="preserve">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 xml:space="preserve">Реализация федеральных и региональных целевых программ в субъекте федерации </w:t>
      </w: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реализацию федеральных и региональных целевых программ в субъекте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координацию действий ОИВ субъекта федерации в области реализации федеральных и региональных целевых программ в субъекте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реализации федеральных и региональных целевых программ в субъекте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 осуществляется информационный обмен между органами государственной власти, участвующими в реализации федеральных и региональных целевых программ в субъекте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 государственной власти и уполномоченное подразделение в структуре данного органа, ответственные за проведение мониторинга результатов реализации федеральных и региональных целевых программ в субъекте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Публикуются ли результаты мониторинга результатов реализации федеральных и региональных целевых программ в субъекте </w:t>
            </w:r>
            <w:r w:rsidRPr="0029330C">
              <w:lastRenderedPageBreak/>
              <w:t>федерации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реализации федеральных и региональных целевых программ в субъекте федерации. Оцените существующую структуру и практику управления процессом реализации федеральных и региональных целевых программ в субъекте федерации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3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Подготовка проекта адресной инвестиционной программы субъекта федерации</w:t>
      </w: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подготовку проекта адресной инвестиционной программы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координацию действий ОИВ субъекта федерации в области подготовки проекта адресной инвестиционной программы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подготовке </w:t>
            </w:r>
            <w:r w:rsidRPr="0029330C">
              <w:lastRenderedPageBreak/>
              <w:t>проекта адресной инвестиционной программы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Как осуществляется информационный обмен между органами государственной власти, участвующими в подготовке проекта адресной инвестиционной программы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подготовки проекта адресной инвестиционной программы субъекта федерации. Оцените существующую структуру и практику управления процессом подготовки проекта адресной инвестиционной программы субъекта федерации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4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Реализация и контроль над результатами реализации адресной инвестиционной программы субъекта федерации</w:t>
      </w: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реализацию и контроль над результатами реализации адресной инвестиционной программы субъекта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</w:t>
            </w:r>
            <w:r w:rsidRPr="0029330C">
              <w:lastRenderedPageBreak/>
              <w:t>государственной власти субъекта федерации, ответственные за координацию действий ОИВ субъекта федерации в области реализации и контроля над результатами реализации адресной инвестиционной программы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Какие органы государственной власти субъекта федерации участвуют в реализации и контроле над результатами реализации адресной инвестиционной программы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Как осуществляется информационный обмен между органами государственной власти, участвующими в реализации и контроле над результатами реализации адресной инвестиционной программы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 государственной власти и уполномоченное подразделение в структуре данного органа, ответственные за проведение мониторинга результатов реализации адресной инвестиционной программы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Публикуются ли результаты мониторинга результатов реализации адресной инвестиционной программы субъекта федерации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реализации и контроля над результатами реализации адресной инвестиционной программы субъекта федерации. Оцените существующую структуру и практику управления процессом реализации и контроля над результатами реализации адресной инвестиционной программы субъекта федерации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5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Чрезмерно усложненная процедура </w:t>
            </w:r>
            <w:r w:rsidRPr="0029330C">
              <w:lastRenderedPageBreak/>
              <w:t>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Разработка и контроль реализации программ социально-экономического развития муниципальных образований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b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разработку и контроль реализации программ социально-экономического развития муниципальных образований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координацию действий ОИВ субъекта федерации в области разработки и контроль реализации программ социально-экономического развития муниципальных образований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Какие органы государственной власти субъекта федерации участвуют в разработке и контроль реализации программ социально-экономического развития муниципальных образований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Как осуществляется информационный обмен между органами государственной власти, участвующими в разработке и контроле реализации программ социально-экономического развития муниципальных образований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 государственной власти и уполномоченное подразделение в структуре данного органа, ответственные за проведение мониторинга результатов реализации программ социально-экономического развития муниципальных образований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Публикуются ли результаты мониторинга результатов реализации программ социально-экономического развития муниципальных образований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разработки и контроля реализации программ социально-экономического развития муниципальных образований. Оцените существующую структуру и практику управления процессом разработки и контроля реализации программ социально-экономического развития муниципальных образований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6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Привлечение инвестиций в субъект федерации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b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привлечение инвестиций в субъект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координацию действий ОИВ субъекта федерации в области привлечения инвестиций в субъект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реализации мер по привлечению инвестиций в субъект </w:t>
            </w:r>
            <w:r w:rsidRPr="0029330C">
              <w:lastRenderedPageBreak/>
              <w:t xml:space="preserve">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 осуществляется информационный обмен между органами государственной власти, участвующими в реализации мер по привлечению инвестиций в субъект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 государственной власти и уполномоченное подразделение в структуре данного органа, ответственные за проведение мониторинга результатов привлечения инвестиций в субъект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Публикуются ли результаты мониторинга результатов привлечения инвестиций в субъект федерации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привлечения инвестиций в субъект федерации. Оцените существующую структуру и практику управления процессом привлечения инвестиций в субъект федерации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7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Разработка, реализация и контроль над результатами реализации региональных программ развития МСП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разработку, реализацию и контроль над результатами реализации региональных программ развития МСП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координацию действий ОИВ субъекта федерации в области разработки, реализации и контроле над результатами реализации региональных программ развития МСП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разработке, реализации и контроле над результатами реализации региональных программ развития МСП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Как осуществляется информационный обмен между органами государственной власти, участвующими в разработке, реализации и контроле над результатами реализации региональных программ развития МСП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 государственной власти и уполномоченное подразделение в структуре данного органа, ответственные за проведение мониторинга результатов реализации региональных программ развития МСП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Публикуются ли результаты мониторинга результатов реализации региональных программ развития МСП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разработки, реализации и контроля над результатами реализации региональных программ развития МСП. Оцените существующую структуру и практику управления процессом разработки, реализации и контроля над результатами реализации региональных программ развития МСП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8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Избыточность полномочий уполномоченного органа государственной </w:t>
            </w:r>
            <w:r w:rsidRPr="0029330C">
              <w:lastRenderedPageBreak/>
              <w:t>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Мониторинг эффективности закупочной деятельности государственных и муниципальных заказчиков в субъекте федерации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проведение мониторинга  эффективности закупочной деятельности государственных и муниципальных заказчиков в субъекте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координацию действий ОИВ субъекта федерации, участвующими в проведение мониторинга  эффективности закупочной деятельности государственных и муниципальных заказчиков в субъекте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проведении мониторинга  эффективности закупочной деятельности государственных и муниципальных заказчиков в субъекте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 осуществляется информационный обмен между органами государственной власти, участвующими в проведении мониторинга  эффективности закупочной деятельности государственных и муниципальных заказчиков в субъекте </w:t>
            </w:r>
            <w:r w:rsidRPr="0029330C">
              <w:lastRenderedPageBreak/>
              <w:t xml:space="preserve">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Публикуются ли результаты мониторинга эффективности закупочной деятельности государственных и муниципальных заказчиков в субъекте федерации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мониторинга эффективности закупочной деятельности государственных и муниципальных заказчиков в субъекте федерации. Оцените существующую структуру и практику управления процессом мониторинга эффективности закупочной деятельности государственных и муниципальных заказчиков в субъекте федерации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9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Подготовка и проведение отбора инвестиционных проектов с использованием государственных капитальных вложений, заключение соглашений о ГЧП и осуществление контроля над их реализацией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подготовку и </w:t>
            </w:r>
            <w:r w:rsidRPr="0029330C">
              <w:lastRenderedPageBreak/>
              <w:t>проведение отбора инвестиционных проектов с использованием государственных капитальных вложений, заключение соглашений о ГЧП и осуществление контроля над их реализацией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координацию действий ОИВ субъекта федерации в области подготовки и проведения отбора инвестиционных проектов с использованием государственных капитальных вложений, заключения соглашений о ГЧП и осуществления контроля над их реализацией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подготовке и проведении отбора инвестиционных проектов с использованием государственных капитальных вложений, заключении соглашений о ГЧП и осуществлении контроля над их реализацией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 осуществляется информационный обмен между органами государственной власти, участвующими в подготовке и проведении отбора инвестиционных проектов с использованием государственных капитальных вложений, заключении соглашений о ГЧП и осуществлении контроля над их реализацией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 государственной власти и уполномоченное подразделение в структуре данного органа, ответственные за проведение мониторинга результатов реализации инвестиционных проектов с использованием государственных капитальных вложений и соглашений о ГЧП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Публикуются ли результаты мониторинга результатов реализации инвестиционных проектов с использованием государственных капитальных вложений и соглашений о ГЧП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Эффективность структуры управления процессом подготовки и проведения отбора инвестиционных проектов с использованием государственных капитальных вложений, заключения соглашений о ГЧП и осуществления контроля над их реализацией. Оцените существующую структуру и практику управления процессом подготовки и проведения отбора инвестиционных проектов с использованием государственных капитальных вложений, заключения </w:t>
      </w:r>
      <w:r w:rsidRPr="0029330C">
        <w:rPr>
          <w:rFonts w:ascii="Times" w:hAnsi="Times" w:cstheme="minorHAnsi"/>
          <w:szCs w:val="22"/>
        </w:rPr>
        <w:lastRenderedPageBreak/>
        <w:t>соглашений о ГЧП и осуществления контроля над их реализацией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10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Учет государственного имущества субъекта федерации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b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проведение учета государственного имущества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координацию действий ОИВ субъекта федерации в области учета государственного имущества субъекта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проведении учета государственного имущества субъекта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 осуществляется информационный обмен между органами государственной власти, участвующими в проведении учета государственного имущества субъекта </w:t>
            </w:r>
            <w:r w:rsidRPr="0029330C">
              <w:lastRenderedPageBreak/>
              <w:t xml:space="preserve">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проведения учета государственного имущества субъекта федерации. Оцените существующую структуру и практику управления процессом проведения учета государственного имущества субъекта федерации по 10-балльной шкале (1 – проблема не актуальна, 10 – проблема чрезвычайно актуальна)</w:t>
      </w:r>
      <w:r>
        <w:rPr>
          <w:rStyle w:val="af3"/>
          <w:rFonts w:ascii="Times" w:hAnsi="Times" w:cstheme="minorHAnsi"/>
          <w:szCs w:val="22"/>
        </w:rPr>
        <w:footnoteReference w:id="11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Передача в аренду государственного имущества субъекта федерации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подготовку и проведение торгов на право заключения договора аренды государственного имущества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координацию действий ОИВ субъекта федерации в области подготовки и проведения торгов на право заключения договора аренды </w:t>
            </w:r>
            <w:r w:rsidRPr="0029330C">
              <w:lastRenderedPageBreak/>
              <w:t xml:space="preserve">государственного имущества субъекта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подготовке и проведении торгов на право заключения договора аренды государственного имущества субъекта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 осуществляется информационный обмен между органами государственной власти, участвующими в подготовке и проведении торгов на право заключения договора аренды государственного имущества субъекта федерации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 государственной власти и уполномоченное подразделение в структуре данного органа, ответственные за проведение мониторинга эффективности исполнения договоров об аренде государственного имущества субъекта федерации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Публикуются ли результаты мониторинга эффективности исполнения договоров об аренде государственного имущества субъекта федерации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передачи в аренду государственного имущества субъекта федерации. Оцените существующую структуру и практику управления процессом передачи в аренду государственного имущества субъекта федерации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12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информационного обмена между участвующими органами </w:t>
            </w:r>
            <w:r w:rsidRPr="0029330C">
              <w:lastRenderedPageBreak/>
              <w:t>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Повышение эффективности использования государственного имущества унитарными и предприятиями и учреждениями, которым оно передано на праве хозяйственного ведения, оперативного управления, в безвозмездное пользование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орган/органы государственной власти субъекта федерации, ответственные за разработку и реализацию мер в области повышения эффективности использования государственного имущества унитарными и предприятиями и учреждениями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координацию действий ОИВ субъекта федерации в области повышения эффективности использования государственного имущества унитарными и предприятиями и учреждениями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Какие органы государственной власти субъекта федерации участвуют в разработке и реализации мер в области повышения эффективности использования государственного имущества унитарными и предприятиями и учреждениями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 осуществляется информационный обмен между органами государственной власти, участвующими в разработке и реализации мер в области повышения эффективности использования государственного имущества унитарными и предприятиями и учреждениями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 государственной власти и уполномоченное подразделение в структуре данного органа, ответственные за проведение мониторинга эффективности использования государственного имущества унитарными и предприятиями и учреждениями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Публикуются ли результаты мониторинга эффективности использования государственного имущества унитарными и предприятиями и учреждениями исполнения </w:t>
            </w:r>
            <w:r w:rsidRPr="0029330C">
              <w:lastRenderedPageBreak/>
              <w:t>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разработки и реализации мер в области повышения эффективности использования государственного имущества унитарными и предприятиями и учреждениями. Оцените существующую структуру и практику управления процессом разработки и реализации мер в области повышения эффективности использования государственного имущества унитарными и предприятиями и учреждениями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13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Управление долями, паями в компаниях с участием субъекта РФ, государственными унитарными предприятиями, собственником которых является субъект РФ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5"/>
        <w:gridCol w:w="4716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управление долями, паями в компаниях с участием субъекта РФ, государственными унитарными предприятиями, собственником которых является субъект РФ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</w:t>
            </w:r>
            <w:r w:rsidRPr="0029330C">
              <w:lastRenderedPageBreak/>
              <w:t xml:space="preserve">государственной власти субъекта федерации, ответственные за координацию действий ОИВ субъекта федерации в области управления долями, паями в компаниях с участием субъекта РФ, государственными унитарными предприятиями, собственником которых является субъект РФ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управлении долями, паями в компаниях с участием субъекта РФ, государственными унитарными предприятиями, собственником которых является субъект РФ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 осуществляется информационный обмен между органами государственной власти, участвующими в управлении долями, паями в компаниях с участием субъекта РФ, государственными унитарными предприятиями, собственником которых является субъект РФ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 государственной власти и уполномоченное подразделение в структуре данного органа, ответственные за проведение мониторинга эффективности управления долями, паями в компаниях с участием субъекта РФ, государственными унитарными предприятиями, собственником которых является субъект РФ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Публикуются ли результаты мониторинга эффективности управления долями, паями в компаниях с участием субъекта РФ, государственными унитарными предприятиями, собственником которых является субъект РФ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долями, паями в компаниях с участием субъекта РФ, государственными унитарными предприятиями, собственником которых является субъект РФ. Оцените существующую структуру и практику управления процессом управления долями, паями в компаниях с участием субъекта РФ, государственными унитарными предприятиями, собственником которых является субъект РФ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14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Избыточность полномочий </w:t>
            </w:r>
            <w:r w:rsidRPr="0029330C">
              <w:lastRenderedPageBreak/>
              <w:t>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0"/>
          <w:numId w:val="5"/>
        </w:numPr>
        <w:spacing w:line="240" w:lineRule="auto"/>
        <w:contextualSpacing/>
        <w:rPr>
          <w:rFonts w:ascii="Times" w:hAnsi="Times" w:cstheme="minorHAnsi"/>
          <w:b/>
          <w:szCs w:val="22"/>
        </w:rPr>
      </w:pPr>
      <w:r w:rsidRPr="0029330C">
        <w:rPr>
          <w:rFonts w:ascii="Times" w:hAnsi="Times" w:cstheme="minorHAnsi"/>
          <w:b/>
          <w:szCs w:val="22"/>
        </w:rPr>
        <w:t>Приватизация государственного имущества</w:t>
      </w:r>
    </w:p>
    <w:p w:rsidR="0029330C" w:rsidRPr="0029330C" w:rsidRDefault="0029330C" w:rsidP="0029330C">
      <w:pPr>
        <w:spacing w:line="240" w:lineRule="auto"/>
        <w:contextualSpacing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 xml:space="preserve">Структура управления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51"/>
        <w:gridCol w:w="4720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проведение  приватизации государственного имущества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Уполномоченный орган/органы государственной власти субъекта федерации, ответственные за координацию действий ОИВ субъекта федерации в области приватизации государственного имущества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Какие органы государственной власти субъекта федерации участвуют в проведении  приватизации государственного имущества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Как осуществляется информационный обмен между органами государственной власти, участвующими в проведении  приватизации государственного имущества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Уполномоченный орган государственной власти и уполномоченное подразделение в структуре данного органа, ответственные за проведение мониторинга реализации плана приватизации и эффективности приватизации государственного имущества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Публикуются ли результаты мониторинга реализации плана приватизации и эффективности приватизации </w:t>
            </w:r>
            <w:r w:rsidRPr="0029330C">
              <w:lastRenderedPageBreak/>
              <w:t>государственного имущества (если публикуются, укажите где)?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numPr>
          <w:ilvl w:val="1"/>
          <w:numId w:val="5"/>
        </w:numPr>
        <w:spacing w:line="240" w:lineRule="auto"/>
        <w:contextualSpacing/>
        <w:rPr>
          <w:rFonts w:ascii="Times" w:hAnsi="Times" w:cstheme="minorHAnsi"/>
          <w:szCs w:val="22"/>
        </w:rPr>
      </w:pPr>
      <w:r w:rsidRPr="0029330C">
        <w:rPr>
          <w:rFonts w:ascii="Times" w:hAnsi="Times" w:cstheme="minorHAnsi"/>
          <w:szCs w:val="22"/>
        </w:rPr>
        <w:t>Эффективность структуры управления процессом приватизации государственного имущества субъекта федерации. Оцените существующую структуру и практику управления процессом приватизации государственного имущества субъекта федерации по 10-балльной шкале (1 – проблема не актуальна, 10 – проблема чрезвычайно актуальна)</w:t>
      </w:r>
      <w:r w:rsidRPr="0029330C">
        <w:rPr>
          <w:rStyle w:val="a6"/>
          <w:rFonts w:ascii="Times" w:hAnsi="Times" w:cstheme="minorHAnsi"/>
          <w:szCs w:val="22"/>
        </w:rPr>
        <w:t xml:space="preserve"> </w:t>
      </w:r>
      <w:r>
        <w:rPr>
          <w:rStyle w:val="af3"/>
          <w:rFonts w:ascii="Times" w:hAnsi="Times" w:cstheme="minorHAnsi"/>
          <w:szCs w:val="22"/>
        </w:rPr>
        <w:footnoteReference w:id="15"/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863"/>
        <w:gridCol w:w="4708"/>
      </w:tblGrid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Недостаточность полномочий уполномоченного органа государственной власти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полномочий уполномоченного органа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дублирования функций (нечеткого разделения полномочий) ОИВ 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 четко регламентированная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Чрезмерно усложненная процедура взаимодействия между структурными подразделениями уполномоченного органа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Недостаточность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>Избыточность информационного обмена между участвующими органами государственной власти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  <w:tr w:rsidR="0029330C" w:rsidRPr="0029330C" w:rsidTr="0029330C">
        <w:tc>
          <w:tcPr>
            <w:tcW w:w="5068" w:type="dxa"/>
          </w:tcPr>
          <w:p w:rsidR="0029330C" w:rsidRPr="0029330C" w:rsidRDefault="0029330C" w:rsidP="0029330C">
            <w:r w:rsidRPr="0029330C">
              <w:t xml:space="preserve">Наличие риска конфликта интересов вследствие неудачного совмещения полномочий </w:t>
            </w:r>
          </w:p>
        </w:tc>
        <w:tc>
          <w:tcPr>
            <w:tcW w:w="5069" w:type="dxa"/>
          </w:tcPr>
          <w:p w:rsidR="0029330C" w:rsidRPr="0029330C" w:rsidRDefault="0029330C" w:rsidP="0029330C"/>
        </w:tc>
      </w:tr>
    </w:tbl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Pr="0029330C" w:rsidRDefault="0029330C" w:rsidP="0029330C">
      <w:pPr>
        <w:spacing w:line="240" w:lineRule="auto"/>
        <w:rPr>
          <w:rFonts w:ascii="Times" w:hAnsi="Times" w:cstheme="minorHAnsi"/>
          <w:szCs w:val="22"/>
        </w:rPr>
      </w:pPr>
    </w:p>
    <w:p w:rsidR="0029330C" w:rsidRDefault="0029330C" w:rsidP="0029330C"/>
    <w:sectPr w:rsidR="00293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313" w:rsidRDefault="00FE2313" w:rsidP="0029330C">
      <w:pPr>
        <w:spacing w:line="240" w:lineRule="auto"/>
      </w:pPr>
      <w:r>
        <w:separator/>
      </w:r>
    </w:p>
  </w:endnote>
  <w:endnote w:type="continuationSeparator" w:id="0">
    <w:p w:rsidR="00FE2313" w:rsidRDefault="00FE2313" w:rsidP="002933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313" w:rsidRDefault="00FE2313" w:rsidP="0029330C">
      <w:pPr>
        <w:spacing w:line="240" w:lineRule="auto"/>
      </w:pPr>
      <w:r>
        <w:separator/>
      </w:r>
    </w:p>
  </w:footnote>
  <w:footnote w:type="continuationSeparator" w:id="0">
    <w:p w:rsidR="00FE2313" w:rsidRDefault="00FE2313" w:rsidP="0029330C">
      <w:pPr>
        <w:spacing w:line="240" w:lineRule="auto"/>
      </w:pPr>
      <w:r>
        <w:continuationSeparator/>
      </w:r>
    </w:p>
  </w:footnote>
  <w:footnote w:id="1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2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3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4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5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6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7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8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9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10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11">
    <w:p w:rsidR="00834035" w:rsidRDefault="00834035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12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13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14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  <w:footnote w:id="15">
    <w:p w:rsidR="00834035" w:rsidRDefault="00834035" w:rsidP="0029330C">
      <w:pPr>
        <w:pStyle w:val="af1"/>
      </w:pPr>
      <w:r>
        <w:rPr>
          <w:rStyle w:val="af3"/>
        </w:rPr>
        <w:footnoteRef/>
      </w:r>
      <w:r>
        <w:t xml:space="preserve"> Заполняется руководителем ответственного за выполнение данной функции ОИВ либо уполномоченным им сотрудником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E3A01F1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7410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3B43BB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648728D"/>
    <w:multiLevelType w:val="hybridMultilevel"/>
    <w:tmpl w:val="A3D484A2"/>
    <w:lvl w:ilvl="0" w:tplc="B986CB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B7058E"/>
    <w:multiLevelType w:val="hybridMultilevel"/>
    <w:tmpl w:val="FDB246EC"/>
    <w:lvl w:ilvl="0" w:tplc="628AE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2783218">
      <w:start w:val="1"/>
      <w:numFmt w:val="lowerLetter"/>
      <w:lvlText w:val="%2."/>
      <w:lvlJc w:val="left"/>
      <w:pPr>
        <w:ind w:left="1789" w:hanging="360"/>
      </w:pPr>
      <w:rPr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D46EFE"/>
    <w:multiLevelType w:val="hybridMultilevel"/>
    <w:tmpl w:val="C7A24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733"/>
    <w:rsid w:val="000A4349"/>
    <w:rsid w:val="000F4733"/>
    <w:rsid w:val="00101C5B"/>
    <w:rsid w:val="001151E3"/>
    <w:rsid w:val="00245CC0"/>
    <w:rsid w:val="00262F73"/>
    <w:rsid w:val="00263297"/>
    <w:rsid w:val="0029330C"/>
    <w:rsid w:val="002A341D"/>
    <w:rsid w:val="002E4F3A"/>
    <w:rsid w:val="002F2E64"/>
    <w:rsid w:val="00394C88"/>
    <w:rsid w:val="004A1840"/>
    <w:rsid w:val="004A7DDB"/>
    <w:rsid w:val="004F0433"/>
    <w:rsid w:val="00563012"/>
    <w:rsid w:val="005F4A09"/>
    <w:rsid w:val="00647DE3"/>
    <w:rsid w:val="00774EE2"/>
    <w:rsid w:val="007A7160"/>
    <w:rsid w:val="007B1D52"/>
    <w:rsid w:val="00834035"/>
    <w:rsid w:val="009F00E2"/>
    <w:rsid w:val="00AD7760"/>
    <w:rsid w:val="00B573B6"/>
    <w:rsid w:val="00B61FE5"/>
    <w:rsid w:val="00B908CB"/>
    <w:rsid w:val="00BD2772"/>
    <w:rsid w:val="00BE3D68"/>
    <w:rsid w:val="00C75259"/>
    <w:rsid w:val="00CA33ED"/>
    <w:rsid w:val="00D13938"/>
    <w:rsid w:val="00D453B3"/>
    <w:rsid w:val="00D67A57"/>
    <w:rsid w:val="00E96388"/>
    <w:rsid w:val="00F34402"/>
    <w:rsid w:val="00F356E6"/>
    <w:rsid w:val="00F61E15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0FDB0-7E24-4C96-BA90-F827780A2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356E6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F4733"/>
    <w:pPr>
      <w:spacing w:line="340" w:lineRule="exact"/>
      <w:ind w:left="720" w:firstLine="709"/>
      <w:contextualSpacing/>
      <w:jc w:val="both"/>
    </w:pPr>
    <w:rPr>
      <w:rFonts w:cstheme="minorBidi"/>
      <w:szCs w:val="22"/>
    </w:rPr>
  </w:style>
  <w:style w:type="table" w:styleId="a5">
    <w:name w:val="Table Grid"/>
    <w:basedOn w:val="a2"/>
    <w:uiPriority w:val="59"/>
    <w:rsid w:val="000F4733"/>
    <w:pPr>
      <w:spacing w:line="240" w:lineRule="auto"/>
    </w:pPr>
    <w:rPr>
      <w:rFonts w:ascii="Times" w:hAnsi="Times" w:cs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1"/>
    <w:uiPriority w:val="99"/>
    <w:semiHidden/>
    <w:unhideWhenUsed/>
    <w:rsid w:val="00C75259"/>
    <w:rPr>
      <w:sz w:val="16"/>
      <w:szCs w:val="16"/>
    </w:rPr>
  </w:style>
  <w:style w:type="paragraph" w:styleId="a7">
    <w:name w:val="annotation text"/>
    <w:basedOn w:val="a0"/>
    <w:link w:val="a8"/>
    <w:uiPriority w:val="99"/>
    <w:semiHidden/>
    <w:unhideWhenUsed/>
    <w:rsid w:val="00C7525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uiPriority w:val="99"/>
    <w:semiHidden/>
    <w:rsid w:val="00C7525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7525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75259"/>
    <w:rPr>
      <w:b/>
      <w:bCs/>
      <w:sz w:val="20"/>
      <w:szCs w:val="20"/>
    </w:rPr>
  </w:style>
  <w:style w:type="paragraph" w:styleId="ab">
    <w:name w:val="Balloon Text"/>
    <w:basedOn w:val="a0"/>
    <w:link w:val="ac"/>
    <w:uiPriority w:val="99"/>
    <w:semiHidden/>
    <w:unhideWhenUsed/>
    <w:rsid w:val="00C752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C7525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2"/>
    <w:next w:val="a5"/>
    <w:uiPriority w:val="59"/>
    <w:rsid w:val="00CA33ED"/>
    <w:pPr>
      <w:spacing w:line="240" w:lineRule="auto"/>
    </w:pPr>
    <w:rPr>
      <w:rFonts w:ascii="Times" w:hAnsi="Times" w:cs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Нет списка1"/>
    <w:next w:val="a3"/>
    <w:uiPriority w:val="99"/>
    <w:semiHidden/>
    <w:unhideWhenUsed/>
    <w:rsid w:val="0029330C"/>
  </w:style>
  <w:style w:type="paragraph" w:styleId="a">
    <w:name w:val="List Bullet"/>
    <w:basedOn w:val="a0"/>
    <w:uiPriority w:val="99"/>
    <w:unhideWhenUsed/>
    <w:rsid w:val="0029330C"/>
    <w:pPr>
      <w:numPr>
        <w:numId w:val="3"/>
      </w:numPr>
      <w:spacing w:line="240" w:lineRule="auto"/>
      <w:contextualSpacing/>
    </w:pPr>
    <w:rPr>
      <w:rFonts w:ascii="Times" w:hAnsi="Times" w:cstheme="minorHAnsi"/>
      <w:szCs w:val="22"/>
    </w:rPr>
  </w:style>
  <w:style w:type="paragraph" w:styleId="ad">
    <w:name w:val="header"/>
    <w:basedOn w:val="a0"/>
    <w:link w:val="ae"/>
    <w:uiPriority w:val="99"/>
    <w:unhideWhenUsed/>
    <w:rsid w:val="0029330C"/>
    <w:pPr>
      <w:tabs>
        <w:tab w:val="center" w:pos="4677"/>
        <w:tab w:val="right" w:pos="9355"/>
      </w:tabs>
      <w:spacing w:line="240" w:lineRule="auto"/>
    </w:pPr>
    <w:rPr>
      <w:rFonts w:ascii="Times" w:hAnsi="Times" w:cstheme="minorHAnsi"/>
      <w:szCs w:val="22"/>
    </w:rPr>
  </w:style>
  <w:style w:type="character" w:customStyle="1" w:styleId="ae">
    <w:name w:val="Верхний колонтитул Знак"/>
    <w:basedOn w:val="a1"/>
    <w:link w:val="ad"/>
    <w:uiPriority w:val="99"/>
    <w:rsid w:val="0029330C"/>
    <w:rPr>
      <w:rFonts w:ascii="Times" w:hAnsi="Times" w:cstheme="minorHAnsi"/>
      <w:szCs w:val="22"/>
    </w:rPr>
  </w:style>
  <w:style w:type="paragraph" w:styleId="af">
    <w:name w:val="footer"/>
    <w:basedOn w:val="a0"/>
    <w:link w:val="af0"/>
    <w:uiPriority w:val="99"/>
    <w:unhideWhenUsed/>
    <w:rsid w:val="0029330C"/>
    <w:pPr>
      <w:tabs>
        <w:tab w:val="center" w:pos="4677"/>
        <w:tab w:val="right" w:pos="9355"/>
      </w:tabs>
      <w:spacing w:line="240" w:lineRule="auto"/>
    </w:pPr>
    <w:rPr>
      <w:rFonts w:ascii="Times" w:hAnsi="Times" w:cstheme="minorHAnsi"/>
      <w:szCs w:val="22"/>
    </w:rPr>
  </w:style>
  <w:style w:type="character" w:customStyle="1" w:styleId="af0">
    <w:name w:val="Нижний колонтитул Знак"/>
    <w:basedOn w:val="a1"/>
    <w:link w:val="af"/>
    <w:uiPriority w:val="99"/>
    <w:rsid w:val="0029330C"/>
    <w:rPr>
      <w:rFonts w:ascii="Times" w:hAnsi="Times" w:cstheme="minorHAnsi"/>
      <w:szCs w:val="22"/>
    </w:rPr>
  </w:style>
  <w:style w:type="paragraph" w:customStyle="1" w:styleId="RAEXdefault">
    <w:name w:val="RAEX default"/>
    <w:basedOn w:val="a0"/>
    <w:next w:val="a0"/>
    <w:link w:val="RAEXdefault0"/>
    <w:qFormat/>
    <w:rsid w:val="0029330C"/>
    <w:pPr>
      <w:spacing w:line="240" w:lineRule="auto"/>
      <w:contextualSpacing/>
      <w:jc w:val="both"/>
    </w:pPr>
    <w:rPr>
      <w:rFonts w:cstheme="minorHAnsi"/>
      <w:szCs w:val="22"/>
      <w:lang w:val="en-US"/>
    </w:rPr>
  </w:style>
  <w:style w:type="character" w:customStyle="1" w:styleId="RAEXdefault0">
    <w:name w:val="RAEX default Знак"/>
    <w:basedOn w:val="a1"/>
    <w:link w:val="RAEXdefault"/>
    <w:rsid w:val="0029330C"/>
    <w:rPr>
      <w:rFonts w:cstheme="minorHAnsi"/>
      <w:szCs w:val="22"/>
      <w:lang w:val="en-US"/>
    </w:rPr>
  </w:style>
  <w:style w:type="table" w:customStyle="1" w:styleId="2">
    <w:name w:val="Сетка таблицы2"/>
    <w:basedOn w:val="a2"/>
    <w:next w:val="a5"/>
    <w:uiPriority w:val="59"/>
    <w:rsid w:val="0029330C"/>
    <w:pPr>
      <w:spacing w:line="240" w:lineRule="auto"/>
    </w:pPr>
    <w:rPr>
      <w:rFonts w:ascii="Times" w:hAnsi="Times" w:cstheme="minorHAns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0"/>
    <w:link w:val="af2"/>
    <w:uiPriority w:val="99"/>
    <w:semiHidden/>
    <w:unhideWhenUsed/>
    <w:rsid w:val="0029330C"/>
    <w:pPr>
      <w:spacing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semiHidden/>
    <w:rsid w:val="0029330C"/>
    <w:rPr>
      <w:sz w:val="20"/>
      <w:szCs w:val="20"/>
    </w:rPr>
  </w:style>
  <w:style w:type="character" w:styleId="af3">
    <w:name w:val="footnote reference"/>
    <w:basedOn w:val="a1"/>
    <w:uiPriority w:val="99"/>
    <w:semiHidden/>
    <w:unhideWhenUsed/>
    <w:rsid w:val="002933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9A30D-53C9-4E38-ADBD-42AA4543C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5154</Words>
  <Characters>29378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Саидат Гаджиева</cp:lastModifiedBy>
  <cp:revision>2</cp:revision>
  <cp:lastPrinted>2016-10-17T11:29:00Z</cp:lastPrinted>
  <dcterms:created xsi:type="dcterms:W3CDTF">2016-12-12T14:46:00Z</dcterms:created>
  <dcterms:modified xsi:type="dcterms:W3CDTF">2016-12-12T14:46:00Z</dcterms:modified>
</cp:coreProperties>
</file>